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5CB9" w14:textId="77777777" w:rsidR="002B763C" w:rsidRDefault="009516AF">
      <w:pPr>
        <w:spacing w:after="0" w:line="259" w:lineRule="auto"/>
        <w:ind w:firstLine="0"/>
        <w:jc w:val="center"/>
      </w:pPr>
      <w:r>
        <w:t>ОДОБРЕНО</w:t>
      </w:r>
    </w:p>
    <w:p w14:paraId="32930138" w14:textId="77777777" w:rsidR="002B763C" w:rsidRDefault="009516AF">
      <w:pPr>
        <w:spacing w:after="528"/>
        <w:ind w:left="5364" w:right="50" w:firstLine="7"/>
      </w:pPr>
      <w:r>
        <w:t>Совет по ветеринарным препаратам протокол от «27» декабря 2022 г. N2 125</w:t>
      </w:r>
    </w:p>
    <w:p w14:paraId="4CA29D48" w14:textId="77777777" w:rsidR="002B763C" w:rsidRDefault="009516AF">
      <w:pPr>
        <w:spacing w:after="182" w:line="259" w:lineRule="auto"/>
        <w:ind w:left="3171" w:right="2347" w:hanging="10"/>
        <w:jc w:val="center"/>
      </w:pPr>
      <w:r>
        <w:rPr>
          <w:sz w:val="26"/>
        </w:rPr>
        <w:t>ИНСТРУКЦИЯ по применению препарата ветеринарного «Таблетки Вазоприл 1,25 мг»</w:t>
      </w:r>
    </w:p>
    <w:p w14:paraId="1578A821" w14:textId="77777777" w:rsidR="002B763C" w:rsidRDefault="009516AF">
      <w:pPr>
        <w:pStyle w:val="1"/>
        <w:ind w:left="824" w:right="0"/>
      </w:pPr>
      <w:r>
        <w:t>1 ОБЩИЕ СВЕДЕНИЯ</w:t>
      </w:r>
    </w:p>
    <w:p w14:paraId="50D6ACB7" w14:textId="77777777" w:rsidR="002B763C" w:rsidRDefault="009516AF">
      <w:pPr>
        <w:ind w:left="842" w:right="50" w:firstLine="0"/>
      </w:pPr>
      <w:r>
        <w:t>1.1 Таблетки Вазоприл 1,25 мг (Tabulettae Vasoprilum 1,25 тд).</w:t>
      </w:r>
    </w:p>
    <w:p w14:paraId="56ACC132" w14:textId="77777777" w:rsidR="002B763C" w:rsidRDefault="009516AF">
      <w:pPr>
        <w:ind w:left="792" w:right="50" w:firstLine="0"/>
      </w:pPr>
      <w:r>
        <w:t>Международное непатентованное наименование: рамиприл.</w:t>
      </w:r>
    </w:p>
    <w:p w14:paraId="3C7C7767" w14:textId="77777777" w:rsidR="002B763C" w:rsidRDefault="009516AF">
      <w:pPr>
        <w:ind w:left="842" w:right="50" w:firstLine="0"/>
      </w:pPr>
      <w:r>
        <w:t>1.2 Лекарственная форма: таблетки для перорального применения.</w:t>
      </w:r>
    </w:p>
    <w:p w14:paraId="0DFD74E6" w14:textId="77777777" w:rsidR="002B763C" w:rsidRDefault="009516AF">
      <w:pPr>
        <w:ind w:left="223" w:right="50"/>
      </w:pPr>
      <w:r>
        <w:t>1.3 В одной таблетке содержится 1,25 мг рамиприла; вспомогательные вещества:</w:t>
      </w:r>
      <w:r>
        <w:t xml:space="preserve"> лактозы моногидрат, дрожжи неактивные, целлюлоза микрокристаллическая, крахмал кукурузный, кросповидон, поливинилпирролидон низкомолекулярный, ароматизатор, кальция стеарат, тальк.</w:t>
      </w:r>
    </w:p>
    <w:p w14:paraId="4F7A6429" w14:textId="77777777" w:rsidR="002B763C" w:rsidRDefault="009516AF">
      <w:pPr>
        <w:ind w:left="223" w:right="50"/>
      </w:pPr>
      <w:r>
        <w:t>1.4 По внешнему виду препарат представляет собой таблетки светло-серого, с</w:t>
      </w:r>
      <w:r>
        <w:t>ветлобежевого или светло-коричневого цвета, плоскоцилиндрической формы, с риской или без, возможно наличие более темных или белых вкраплений.</w:t>
      </w:r>
    </w:p>
    <w:p w14:paraId="2561531C" w14:textId="77777777" w:rsidR="002B763C" w:rsidRDefault="009516AF">
      <w:pPr>
        <w:ind w:left="223" w:right="50"/>
      </w:pPr>
      <w:r>
        <w:t>1.5 Препарат выпускают расфасованным в блистеры по 10 таблеток, помещенные по З штуки вместе с инструкцией по прим</w:t>
      </w:r>
      <w:r>
        <w:t>енению в индивидуальные картонные пачки.</w:t>
      </w:r>
    </w:p>
    <w:p w14:paraId="21BE2753" w14:textId="77777777" w:rsidR="002B763C" w:rsidRDefault="009516AF">
      <w:pPr>
        <w:ind w:left="223" w:right="50"/>
      </w:pPr>
      <w:r>
        <w:t xml:space="preserve">1.6 Препарат хранят в упаковке производителя в защищенном от света месте при температуре от плюс 2 </w:t>
      </w:r>
      <w:r>
        <w:rPr>
          <w:vertAlign w:val="superscript"/>
        </w:rPr>
        <w:t>о</w:t>
      </w:r>
      <w:r>
        <w:t xml:space="preserve">с до плюс 25 </w:t>
      </w:r>
      <w:r>
        <w:rPr>
          <w:vertAlign w:val="superscript"/>
        </w:rPr>
        <w:t>о</w:t>
      </w:r>
      <w:r>
        <w:t>с. Препарат хранят отдельно от продуктов питания и кормов, в недоступном для детей месте.</w:t>
      </w:r>
    </w:p>
    <w:p w14:paraId="16F75FF0" w14:textId="77777777" w:rsidR="002B763C" w:rsidRDefault="009516AF">
      <w:pPr>
        <w:spacing w:after="11" w:line="259" w:lineRule="auto"/>
        <w:ind w:left="792" w:firstLine="0"/>
        <w:jc w:val="left"/>
      </w:pPr>
      <w:r>
        <w:rPr>
          <w:noProof/>
        </w:rPr>
        <w:drawing>
          <wp:inline distT="0" distB="0" distL="0" distR="0" wp14:anchorId="6BDD5613" wp14:editId="253C05F3">
            <wp:extent cx="4572" cy="4572"/>
            <wp:effectExtent l="0" t="0" r="0" b="0"/>
            <wp:docPr id="2309" name="Picture 2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" name="Picture 23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84A4A" w14:textId="77777777" w:rsidR="002B763C" w:rsidRDefault="009516AF">
      <w:pPr>
        <w:spacing w:after="244"/>
        <w:ind w:left="223" w:right="50"/>
      </w:pPr>
      <w:r>
        <w:t xml:space="preserve">1.7 Срок </w:t>
      </w:r>
      <w:r>
        <w:t>годности при соблюдении условий хранения — 2 года от даты производства. Не применять по истечении срока годности.</w:t>
      </w:r>
    </w:p>
    <w:p w14:paraId="43B6B307" w14:textId="77777777" w:rsidR="002B763C" w:rsidRDefault="009516AF">
      <w:pPr>
        <w:pStyle w:val="1"/>
        <w:ind w:left="824" w:right="72"/>
      </w:pPr>
      <w:r>
        <w:t>2 ФАРМАКОЛОГИЧЕСКИЕ СВОЙСТВА</w:t>
      </w:r>
    </w:p>
    <w:p w14:paraId="52FEEB95" w14:textId="77777777" w:rsidR="002B763C" w:rsidRDefault="009516AF">
      <w:pPr>
        <w:ind w:left="785" w:right="50" w:firstLine="0"/>
      </w:pPr>
      <w:r>
        <w:t>2.1 Таблетки Вазоприл 1,25 мг — гипотензивный ветеринарный лекарственный препарат.</w:t>
      </w:r>
    </w:p>
    <w:p w14:paraId="18A09D61" w14:textId="77777777" w:rsidR="002B763C" w:rsidRDefault="009516AF">
      <w:pPr>
        <w:ind w:left="223" w:right="50"/>
      </w:pPr>
      <w:r>
        <w:t>Рамиприл, входящий в состав препарата, ингибирует ангиотензин-превращающий фермент (АПФ), который, подавляя синтез ангиотензина П, снижает его сосудосуживающее действие и ст</w:t>
      </w:r>
      <w:r>
        <w:t>имулирующее влияние на секрецию альдостерона, а также ингибирует распад брадикинина.</w:t>
      </w:r>
    </w:p>
    <w:p w14:paraId="64C25B71" w14:textId="77777777" w:rsidR="002B763C" w:rsidRDefault="009516AF">
      <w:pPr>
        <w:ind w:left="223" w:right="50"/>
      </w:pPr>
      <w:r>
        <w:t>Рамиприл не оказывает существенного влияния на почечный кровоток (в некоторых случаях повышает его) и на скорость клубочковой фильтрации. Препарат не вызывает развитие ком</w:t>
      </w:r>
      <w:r>
        <w:t>пенсаторной тахикардии. Максимальный гипотензивный эффект развивается через 1-3 часа после приема препарата и продолжается на протяжении суток. При ежедневном приеме препарата снижение артериального давления происходит постепенно в течение 3-4 недель и сох</w:t>
      </w:r>
      <w:r>
        <w:t>раняется в пределах физиологической нормы в течение всего периода лечения. Резкая отмена препарата не приводит к быстрому повышению артериального давления. Препарат оказывает кардиопротективное действие за счет угнетения АПФ в миокарде и накопления брадики</w:t>
      </w:r>
      <w:r>
        <w:t>нина, а также способствует обратному развитию гипертрофии миокарда у животных, больных артериальной гипертензией.</w:t>
      </w:r>
    </w:p>
    <w:p w14:paraId="0F3AE9A7" w14:textId="77777777" w:rsidR="002B763C" w:rsidRDefault="009516AF">
      <w:pPr>
        <w:ind w:left="223" w:right="50"/>
      </w:pPr>
      <w:r>
        <w:t>2.2 После приема внутрь 50-60 % рамиприла быстро всасывается в общий кровоток. Первичный метаболизм рамиприла происходит в печени с образовани</w:t>
      </w:r>
      <w:r>
        <w:t>ем рамиприлата, который примерно в 6 раз более активно ингибирует АПФ, чем рамиприл. После перорального введения препарата наблюдается быстрое ингибирование активности АПФ, которая затем снова постепенно повышается в промежутке между введениями и возвращае</w:t>
      </w:r>
      <w:r>
        <w:t>тся до 50 % от исходного значения через 24 часа после введения.</w:t>
      </w:r>
    </w:p>
    <w:p w14:paraId="622258D9" w14:textId="77777777" w:rsidR="002B763C" w:rsidRDefault="009516AF">
      <w:pPr>
        <w:ind w:left="223" w:right="50"/>
      </w:pPr>
      <w:r>
        <w:rPr>
          <w:noProof/>
        </w:rPr>
        <w:lastRenderedPageBreak/>
        <w:drawing>
          <wp:inline distT="0" distB="0" distL="0" distR="0" wp14:anchorId="0ABCF640" wp14:editId="0E3FA6DB">
            <wp:extent cx="4572" cy="4573"/>
            <wp:effectExtent l="0" t="0" r="0" b="0"/>
            <wp:docPr id="2310" name="Picture 2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Препарат выводится через почки (около 60 % у собак и от 9-12 % у кошек) и с фекалиями (около 40 % у собак (преимущественно в виде метаболитов) и 85-89 % у кошек). При нарушениях функции почек</w:t>
      </w:r>
      <w:r>
        <w:t xml:space="preserve"> выделение рамиприла и его метаболитов замедляется пропорционально снижению клиренса креатинина.</w:t>
      </w:r>
    </w:p>
    <w:p w14:paraId="5AB76AFA" w14:textId="77777777" w:rsidR="002B763C" w:rsidRDefault="009516AF">
      <w:pPr>
        <w:ind w:left="223" w:right="50"/>
      </w:pPr>
      <w:r>
        <w:t>По классификации ГОСТ 12.1.007-76 препарат относится к IV классу опасности (вещества малоопасные).</w:t>
      </w:r>
    </w:p>
    <w:p w14:paraId="498FD31C" w14:textId="77777777" w:rsidR="002B763C" w:rsidRDefault="009516AF">
      <w:pPr>
        <w:pStyle w:val="1"/>
        <w:ind w:left="824" w:right="115"/>
      </w:pPr>
      <w:r>
        <w:t>З ПОРЯДОК ПРИМЕНЕНИЯ</w:t>
      </w:r>
    </w:p>
    <w:p w14:paraId="2DA2AE4B" w14:textId="77777777" w:rsidR="002B763C" w:rsidRDefault="009516AF">
      <w:pPr>
        <w:spacing w:after="90"/>
        <w:ind w:left="223" w:right="50"/>
      </w:pPr>
      <w:r>
        <w:t>3.1 Препарат применяют собакам при заст</w:t>
      </w:r>
      <w:r>
        <w:t>ойных явлениях, вызванных хронической сердечной недостаточностью, при артериальной гипертонии, при кардиомиопатиях различного генеза и для профилактики ишемии миокарда.</w:t>
      </w:r>
    </w:p>
    <w:p w14:paraId="550533E9" w14:textId="77777777" w:rsidR="002B763C" w:rsidRDefault="009516AF">
      <w:pPr>
        <w:spacing w:after="74"/>
        <w:ind w:left="223" w:right="50"/>
      </w:pPr>
      <w:r>
        <w:t>Кошкам применяют для снижения систолического давления (если значение систолического дав</w:t>
      </w:r>
      <w:r>
        <w:t>ления находится в промежутке от 160 и 230 мм РТ. ст.).</w:t>
      </w:r>
    </w:p>
    <w:p w14:paraId="43A5421E" w14:textId="77777777" w:rsidR="002B763C" w:rsidRDefault="009516AF">
      <w:pPr>
        <w:spacing w:after="96"/>
        <w:ind w:left="158" w:right="50"/>
      </w:pPr>
      <w:r>
        <w:t>3.2 Препарат применяют собакам, кошкам внутрь один раз в сутки, натощак. Первоначальная терапевтическая доза в сутки составляет 0,125 мг рамиприла на 1 кг массы тела животного (1 таблетка на 10 кг масс</w:t>
      </w:r>
      <w:r>
        <w:t>ы тела животного).</w:t>
      </w:r>
    </w:p>
    <w:p w14:paraId="35E655E3" w14:textId="77777777" w:rsidR="002B763C" w:rsidRDefault="009516AF">
      <w:pPr>
        <w:spacing w:after="69"/>
        <w:ind w:left="151" w:right="50"/>
      </w:pPr>
      <w:r>
        <w:t>Животным, у которых существует риск развития гипотензии, лечение начинают с половинной дозы, которую задают в течение недели.</w:t>
      </w:r>
    </w:p>
    <w:p w14:paraId="6079A8E6" w14:textId="77777777" w:rsidR="002B763C" w:rsidRDefault="009516AF">
      <w:pPr>
        <w:spacing w:after="39"/>
        <w:ind w:left="144" w:right="50"/>
      </w:pPr>
      <w:r>
        <w:t>При отсутствии снижения артериального давления на фоне приема препарата для усиления терапевтического эффекта р</w:t>
      </w:r>
      <w:r>
        <w:t xml:space="preserve">азрешается одновременное применение диуретических </w:t>
      </w:r>
      <w:r>
        <w:rPr>
          <w:noProof/>
        </w:rPr>
        <w:drawing>
          <wp:inline distT="0" distB="0" distL="0" distR="0" wp14:anchorId="3AF0DC7A" wp14:editId="454701A5">
            <wp:extent cx="4572" cy="4572"/>
            <wp:effectExtent l="0" t="0" r="0" b="0"/>
            <wp:docPr id="5522" name="Picture 5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" name="Picture 55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средств в дозах, согласно инструкции по применению.</w:t>
      </w:r>
    </w:p>
    <w:p w14:paraId="36516BAD" w14:textId="77777777" w:rsidR="002B763C" w:rsidRDefault="009516AF">
      <w:pPr>
        <w:spacing w:after="28"/>
        <w:ind w:left="122" w:right="50"/>
      </w:pPr>
      <w:r>
        <w:t>При застойных явлениях в лёгких и кашле у собак, через две недели после начала использования препарата суточную дозу можно увеличить до 0,25 мг рамиприла</w:t>
      </w:r>
      <w:r>
        <w:t xml:space="preserve"> на 1 кг массы тела ;.кивотного (1 таблетка на 5 кг массы животного). Продолжительность курса терапии устанавливает ветеринарный врач.</w:t>
      </w:r>
    </w:p>
    <w:p w14:paraId="6C9CA9CE" w14:textId="77777777" w:rsidR="002B763C" w:rsidRDefault="009516AF">
      <w:pPr>
        <w:spacing w:after="30"/>
        <w:ind w:left="691" w:right="50" w:firstLine="0"/>
      </w:pPr>
      <w:r>
        <w:t>З .2 Особенности применения препарата у кошек.</w:t>
      </w:r>
    </w:p>
    <w:p w14:paraId="512B3B7F" w14:textId="77777777" w:rsidR="002B763C" w:rsidRDefault="009516AF">
      <w:pPr>
        <w:spacing w:after="54"/>
        <w:ind w:left="101" w:right="1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17022A" wp14:editId="1DBADC54">
            <wp:simplePos x="0" y="0"/>
            <wp:positionH relativeFrom="column">
              <wp:posOffset>6300216</wp:posOffset>
            </wp:positionH>
            <wp:positionV relativeFrom="paragraph">
              <wp:posOffset>133969</wp:posOffset>
            </wp:positionV>
            <wp:extent cx="4572" cy="4572"/>
            <wp:effectExtent l="0" t="0" r="0" b="0"/>
            <wp:wrapSquare wrapText="bothSides"/>
            <wp:docPr id="5524" name="Picture 5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" name="Picture 55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4A3388A" wp14:editId="24BCDE8D">
            <wp:extent cx="4572" cy="9144"/>
            <wp:effectExtent l="0" t="0" r="0" b="0"/>
            <wp:docPr id="5523" name="Picture 5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" name="Picture 55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Специфическое лечение при любом предполагаемом первичном заболевании у кошек, связанном с увеличением артериального давления, такого как гипертиреоз, может привести к снижению артериального давления. Лечение с использованием рамиприла необходимо начать в т</w:t>
      </w:r>
      <w:r>
        <w:t xml:space="preserve">ом случае, если на фоне лечения при первичном заболевании давление остается </w:t>
      </w:r>
      <w:r>
        <w:rPr>
          <w:noProof/>
        </w:rPr>
        <w:drawing>
          <wp:inline distT="0" distB="0" distL="0" distR="0" wp14:anchorId="7CB28795" wp14:editId="68086074">
            <wp:extent cx="4573" cy="4572"/>
            <wp:effectExtent l="0" t="0" r="0" b="0"/>
            <wp:docPr id="5525" name="Picture 5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" name="Picture 55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повышенньпи.</w:t>
      </w:r>
    </w:p>
    <w:p w14:paraId="02965420" w14:textId="77777777" w:rsidR="002B763C" w:rsidRDefault="009516AF">
      <w:pPr>
        <w:spacing w:after="39"/>
        <w:ind w:left="86" w:right="13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4692FC3" wp14:editId="725A1BB6">
            <wp:simplePos x="0" y="0"/>
            <wp:positionH relativeFrom="page">
              <wp:posOffset>713232</wp:posOffset>
            </wp:positionH>
            <wp:positionV relativeFrom="page">
              <wp:posOffset>6455664</wp:posOffset>
            </wp:positionV>
            <wp:extent cx="4572" cy="9144"/>
            <wp:effectExtent l="0" t="0" r="0" b="0"/>
            <wp:wrapTopAndBottom/>
            <wp:docPr id="5528" name="Picture 5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" name="Picture 55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5E60716" wp14:editId="64AA951B">
            <wp:simplePos x="0" y="0"/>
            <wp:positionH relativeFrom="page">
              <wp:posOffset>736092</wp:posOffset>
            </wp:positionH>
            <wp:positionV relativeFrom="page">
              <wp:posOffset>9724644</wp:posOffset>
            </wp:positionV>
            <wp:extent cx="4572" cy="4571"/>
            <wp:effectExtent l="0" t="0" r="0" b="0"/>
            <wp:wrapSquare wrapText="bothSides"/>
            <wp:docPr id="5533" name="Picture 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" name="Picture 55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F271CE6" wp14:editId="1A8C9992">
            <wp:simplePos x="0" y="0"/>
            <wp:positionH relativeFrom="column">
              <wp:posOffset>6291073</wp:posOffset>
            </wp:positionH>
            <wp:positionV relativeFrom="paragraph">
              <wp:posOffset>116219</wp:posOffset>
            </wp:positionV>
            <wp:extent cx="9144" cy="22860"/>
            <wp:effectExtent l="0" t="0" r="0" b="0"/>
            <wp:wrapSquare wrapText="bothSides"/>
            <wp:docPr id="16207" name="Picture 16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" name="Picture 162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кошек с серьезньми или быстро прогрессирующими поражениями (например, окулярные или неврологические) рекомендуется проводить повторную оценку клинического состоя</w:t>
      </w:r>
      <w:r>
        <w:t>ния каждые 1-3 дня, вплоть до улучшения состояния животного. В остальных случаях повторная оценка состояния животного проводится спустя 7-10 дней после приема первой дозы препарата или после любой корректировки дозы, далее — с интервалом 1-4 месяца (в зави</w:t>
      </w:r>
      <w:r>
        <w:t>симости от степени гипертонии).</w:t>
      </w:r>
    </w:p>
    <w:p w14:paraId="5C26130F" w14:textId="77777777" w:rsidR="002B763C" w:rsidRDefault="009516AF">
      <w:pPr>
        <w:ind w:left="72" w:right="50"/>
      </w:pPr>
      <w:r>
        <w:t>Данные по эффективности и безопасности при применении у кошек с массой тела менее 2,5 кг, и у кошек с систолическим давлением выше 230 мм РТ. ст. отсутствуют.</w:t>
      </w:r>
    </w:p>
    <w:p w14:paraId="3BB61293" w14:textId="77777777" w:rsidR="002B763C" w:rsidRDefault="009516AF">
      <w:pPr>
        <w:spacing w:after="48"/>
        <w:ind w:left="641" w:right="50" w:firstLine="0"/>
      </w:pPr>
      <w:r>
        <w:t>3.2 Особенности применения препарата у собак.</w:t>
      </w:r>
    </w:p>
    <w:p w14:paraId="52F36000" w14:textId="77777777" w:rsidR="002B763C" w:rsidRDefault="009516AF">
      <w:pPr>
        <w:ind w:left="72" w:right="50"/>
      </w:pPr>
      <w:r>
        <w:t>У собак при примене</w:t>
      </w:r>
      <w:r>
        <w:t>нии препарата возможно</w:t>
      </w:r>
      <w:r>
        <w:rPr>
          <w:vertAlign w:val="superscript"/>
        </w:rPr>
        <w:t xml:space="preserve">т </w:t>
      </w:r>
      <w:r>
        <w:t>проявление апатии и атаксии. В этом случае лечение следует прекратить и после стабилизации состояния животного лечение можно</w:t>
      </w:r>
    </w:p>
    <w:p w14:paraId="5DB6CE98" w14:textId="77777777" w:rsidR="002B763C" w:rsidRDefault="009516AF">
      <w:pPr>
        <w:spacing w:after="27"/>
        <w:ind w:left="58" w:right="50" w:firstLine="0"/>
      </w:pPr>
      <w:r>
        <w:t>продолжить с использованием половины исходной дозы.</w:t>
      </w:r>
    </w:p>
    <w:p w14:paraId="49207AF4" w14:textId="77777777" w:rsidR="002B763C" w:rsidRDefault="009516AF">
      <w:pPr>
        <w:ind w:left="50" w:right="180"/>
      </w:pPr>
      <w:r>
        <w:t>При риске развития у животного гипотензии, лечение начи</w:t>
      </w:r>
      <w:r>
        <w:t xml:space="preserve">нают постепенно в течение </w:t>
      </w:r>
      <w:r>
        <w:rPr>
          <w:noProof/>
        </w:rPr>
        <w:drawing>
          <wp:inline distT="0" distB="0" distL="0" distR="0" wp14:anchorId="1EEC2CD0" wp14:editId="657FF8EF">
            <wp:extent cx="9144" cy="22860"/>
            <wp:effectExtent l="0" t="0" r="0" b="0"/>
            <wp:docPr id="16209" name="Picture 16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" name="Picture 162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одной недели с половинной дозы. Животным, страдающим гиповолемией и дегидратщией, необходимо восстановить водно-солевой баланс в организме животного и после стабилизации</w:t>
      </w:r>
    </w:p>
    <w:p w14:paraId="7E19C565" w14:textId="77777777" w:rsidR="002B763C" w:rsidRDefault="009516AF">
      <w:pPr>
        <w:spacing w:after="75" w:line="259" w:lineRule="auto"/>
        <w:ind w:left="9871" w:firstLine="0"/>
        <w:jc w:val="left"/>
      </w:pPr>
      <w:r>
        <w:rPr>
          <w:noProof/>
        </w:rPr>
        <w:drawing>
          <wp:inline distT="0" distB="0" distL="0" distR="0" wp14:anchorId="797DCCB3" wp14:editId="6A22F419">
            <wp:extent cx="4572" cy="4571"/>
            <wp:effectExtent l="0" t="0" r="0" b="0"/>
            <wp:docPr id="5531" name="Picture 5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" name="Picture 55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9CF7" w14:textId="77777777" w:rsidR="002B763C" w:rsidRDefault="009516AF">
      <w:pPr>
        <w:spacing w:after="53"/>
        <w:ind w:left="50" w:right="50" w:firstLine="0"/>
      </w:pPr>
      <w:r>
        <w:t>состояния применять препарат.</w:t>
      </w:r>
    </w:p>
    <w:p w14:paraId="21B09184" w14:textId="77777777" w:rsidR="002B763C" w:rsidRDefault="009516AF">
      <w:pPr>
        <w:ind w:left="7" w:right="216"/>
      </w:pPr>
      <w:r>
        <w:t>В некоторых случаях у животного на фоне применения препарата могут наблюдаться побочные явления со стороны дыхательной системы (синусит, ринит, бронхоспазм), со стороны желудочно-кишечного тракта (тошнота, диспепсия, рвота, ди</w:t>
      </w:r>
      <w:r>
        <w:t xml:space="preserve">арея, запор, дисфагия, </w:t>
      </w:r>
      <w:r>
        <w:lastRenderedPageBreak/>
        <w:t>потеря аппетита), со стороны нервной системы (судороги, невралгии, нейропатия, парестезии, тремор). При проявлении побочного действия применение препарата следует прекратить и обратиться к ветеринарному врачу. Превышение дозы более ч</w:t>
      </w:r>
      <w:r>
        <w:t>ем в 10 раз (2,5 мг/кг массы животного) нормально переносится молодыми животными. В редких случаях отмечаются признаки гипотензии, проявляющиеся в виде апатии и атаксии. При возникновении подобных симптомов назначенное лечение необходимо приостановить до с</w:t>
      </w:r>
      <w:r>
        <w:t>табилизщии состояния животного. После этого лечение возобновляют в половинной терапевтической дозе.</w:t>
      </w:r>
    </w:p>
    <w:p w14:paraId="0DCB2A01" w14:textId="77777777" w:rsidR="002B763C" w:rsidRDefault="009516AF">
      <w:pPr>
        <w:spacing w:after="76" w:line="259" w:lineRule="auto"/>
        <w:ind w:left="9814" w:firstLine="0"/>
        <w:jc w:val="left"/>
      </w:pPr>
      <w:r>
        <w:rPr>
          <w:noProof/>
        </w:rPr>
        <w:drawing>
          <wp:inline distT="0" distB="0" distL="0" distR="0" wp14:anchorId="59FB53B3" wp14:editId="19C6D418">
            <wp:extent cx="4572" cy="4571"/>
            <wp:effectExtent l="0" t="0" r="0" b="0"/>
            <wp:docPr id="5532" name="Picture 5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" name="Picture 55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32EB" w14:textId="77777777" w:rsidR="002B763C" w:rsidRDefault="009516AF">
      <w:pPr>
        <w:ind w:left="0" w:right="245" w:firstLine="7"/>
      </w:pPr>
      <w:r>
        <w:t>Применение АПФ-ингибитора у собак с симптомами гипотензии и дегидратации может привезти к развитию острой гипотензии. В таких случаях необходимо восстановить водносолевой баланс в организме животного и отложить применение препарата до стабилизации состояни</w:t>
      </w:r>
      <w:r>
        <w:t>я.</w:t>
      </w:r>
    </w:p>
    <w:p w14:paraId="030930F3" w14:textId="77777777" w:rsidR="002B763C" w:rsidRDefault="009516AF">
      <w:pPr>
        <w:ind w:left="223" w:right="50"/>
      </w:pPr>
      <w:r>
        <w:t>З .4 Противопоказанием к применению препарата является повышенная индивидуальная чувствительность к компонентам препарата, стеноз митрального клапана, стеноз аорты, гипертрофическая кардиомиопатия, тяжелые нарушения функций печени и почек.</w:t>
      </w:r>
    </w:p>
    <w:p w14:paraId="12A78A02" w14:textId="77777777" w:rsidR="002B763C" w:rsidRDefault="009516AF">
      <w:pPr>
        <w:ind w:left="223" w:right="50"/>
      </w:pPr>
      <w:r>
        <w:t>Применение пр</w:t>
      </w:r>
      <w:r>
        <w:t>епарата самкам в период беременности и вскармливания приплода возможно после консультации с ветеринарным врачом, на основании оценки отношения пользы к возможному риску применения препарата.</w:t>
      </w:r>
    </w:p>
    <w:p w14:paraId="40663D41" w14:textId="77777777" w:rsidR="002B763C" w:rsidRDefault="009516AF">
      <w:pPr>
        <w:ind w:left="223" w:right="50"/>
      </w:pPr>
      <w:r>
        <w:t>3.5 Животные, у которых существует повышенный риск развития чрезм</w:t>
      </w:r>
      <w:r>
        <w:t>ерной гипотензии, после приема первой дозы, а также после увеличения дозы препарата должны находиться под строгим наблюдением ветеринарного врача, особенно в первые 2 недели лечения. В случае развития гипотензии, атаксии, тахикардии, аритмии и стенокардии,</w:t>
      </w:r>
      <w:r>
        <w:t xml:space="preserve"> лечение необходимо прекратить. Мочегонные средства и корма с пониженным содержанием натрия усиливает действие препарата, поэтому, во избежание развития резкой гипотензии, сопровождающейся апатией, атаксией, обмороками или острой почечной недостаточностью,</w:t>
      </w:r>
      <w:r>
        <w:t xml:space="preserve"> не следует превышать дозы диуретических средств и назначать диету с пониженным содержанием натрия.</w:t>
      </w:r>
    </w:p>
    <w:p w14:paraId="2D48BEE1" w14:textId="77777777" w:rsidR="002B763C" w:rsidRDefault="009516AF">
      <w:pPr>
        <w:ind w:left="223" w:right="50"/>
      </w:pPr>
      <w:r>
        <w:t>Гипотензивный эффект препарата может быть усилен при совместном приеме с другими гипотензивньпли средствами или анестетиками с гипотензивным эффектом. За су</w:t>
      </w:r>
      <w:r>
        <w:t xml:space="preserve">тки до проведения анестезии или глубокого наркоза рекомендуется прекратить прием препарата. Одновременное применение препарата с калийсберегающими диуретиками может привести к гиперкалиемии. При необходимости совместного применения необходимо отслеживание </w:t>
      </w:r>
      <w:r>
        <w:t>уровня калия в плазме.</w:t>
      </w:r>
    </w:p>
    <w:p w14:paraId="5ACF9687" w14:textId="77777777" w:rsidR="002B763C" w:rsidRDefault="009516AF">
      <w:pPr>
        <w:spacing w:after="217"/>
        <w:ind w:left="223" w:right="50"/>
      </w:pPr>
      <w:r>
        <w:t xml:space="preserve">Специфических антидотов при передозировке препарата нет. В этом случае рекомендуется вызвать рвоту, промыть желудок при помощи желудочного зонда и провести </w:t>
      </w:r>
      <w:r>
        <w:rPr>
          <w:noProof/>
        </w:rPr>
        <w:drawing>
          <wp:inline distT="0" distB="0" distL="0" distR="0" wp14:anchorId="7BC35CEE" wp14:editId="10D109DB">
            <wp:extent cx="4572" cy="4572"/>
            <wp:effectExtent l="0" t="0" r="0" b="0"/>
            <wp:docPr id="8775" name="Picture 8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" name="Picture 87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мониторинг электролитов крови. Назначают средства симптоматической терапии с</w:t>
      </w:r>
      <w:r>
        <w:t xml:space="preserve"> использованием инфузионных растворов, если необходимо.</w:t>
      </w:r>
    </w:p>
    <w:p w14:paraId="68CE9C3F" w14:textId="77777777" w:rsidR="002B763C" w:rsidRDefault="009516AF">
      <w:pPr>
        <w:pStyle w:val="1"/>
        <w:ind w:left="824" w:right="43"/>
      </w:pPr>
      <w:r>
        <w:t>4 МЕРЫ ПРОФИЛАКТИКИ</w:t>
      </w:r>
    </w:p>
    <w:p w14:paraId="594D099B" w14:textId="77777777" w:rsidR="002B763C" w:rsidRDefault="009516AF">
      <w:pPr>
        <w:spacing w:after="229"/>
        <w:ind w:left="223" w:right="50"/>
      </w:pPr>
      <w:r>
        <w:t>4.1 При работе с препаратом следует соблюдать общепринятые меры личной гигиены и правила техники безопасности.</w:t>
      </w:r>
    </w:p>
    <w:p w14:paraId="7B766EA6" w14:textId="77777777" w:rsidR="002B763C" w:rsidRDefault="009516AF">
      <w:pPr>
        <w:pStyle w:val="1"/>
        <w:ind w:left="2724" w:right="0"/>
        <w:jc w:val="left"/>
      </w:pPr>
      <w:r>
        <w:t>5 ПОРЯДОК ПРЕДЪЯВЛЕНИЯ РЕКЛАМАЦИЙ</w:t>
      </w:r>
    </w:p>
    <w:p w14:paraId="097FD35D" w14:textId="77777777" w:rsidR="002B763C" w:rsidRDefault="009516AF">
      <w:pPr>
        <w:ind w:left="223" w:right="50"/>
      </w:pPr>
      <w:r>
        <w:t>5.1 В случае возникновения осложнен</w:t>
      </w:r>
      <w:r>
        <w:t>ий после применения препарата, его использование прекращают и потребитель обращается в Государственное ветеринарное учреждение, на территории которого он находится.</w:t>
      </w:r>
    </w:p>
    <w:p w14:paraId="07DC5069" w14:textId="77777777" w:rsidR="002B763C" w:rsidRDefault="009516AF">
      <w:pPr>
        <w:spacing w:after="232"/>
        <w:ind w:left="223" w:right="50"/>
      </w:pPr>
      <w:r>
        <w:t>Ветеринарными специалистами этого учреждения производится изучение соблюдение всех правил п</w:t>
      </w:r>
      <w:r>
        <w:t>рименение этого препарата в соответствии с инструкцией. При подтверждении выявления отрицательного воздействия препарата на организм животного, ветеринарньми специалистами отбираются пробы в необходимом количестве для проведения лабораторных испытаний, пиш</w:t>
      </w:r>
      <w:r>
        <w:t>ется акт отбора проб и направляется в Государственное учреждение «Белорусский государственный ветеринарный центр» (220005, г. Минск, ул. Красная, 19 А), для подтверждения соответствия нормативньпл документам.</w:t>
      </w:r>
    </w:p>
    <w:p w14:paraId="2A057369" w14:textId="77777777" w:rsidR="002B763C" w:rsidRDefault="009516AF">
      <w:pPr>
        <w:pStyle w:val="1"/>
        <w:ind w:left="2501" w:right="0"/>
        <w:jc w:val="left"/>
      </w:pPr>
      <w:r>
        <w:lastRenderedPageBreak/>
        <w:t>6 ПОЛНОЕ НАИМЕНОВАНИЕ ПРОИЗВОДИТЕЛЯ</w:t>
      </w:r>
    </w:p>
    <w:p w14:paraId="2E293D84" w14:textId="77777777" w:rsidR="002B763C" w:rsidRDefault="009516AF">
      <w:pPr>
        <w:spacing w:after="248"/>
        <w:ind w:left="223" w:right="50"/>
      </w:pPr>
      <w:r>
        <w:t>6.1 Обществ</w:t>
      </w:r>
      <w:r>
        <w:t>о с ограниченной ответственностью «Рубикон», 210002, Республика Беларусь, г. Витебск, ул. М. Горького, 62 Б. Адрес производственной площадки: Республика Беларусь, г. Витебск, ул. Терешковой, 13 В.</w:t>
      </w:r>
    </w:p>
    <w:p w14:paraId="7F29B788" w14:textId="77777777" w:rsidR="002B763C" w:rsidRDefault="009516AF">
      <w:pPr>
        <w:spacing w:after="0" w:line="259" w:lineRule="auto"/>
        <w:ind w:left="0" w:right="58" w:firstLine="0"/>
        <w:jc w:val="right"/>
      </w:pPr>
      <w:r>
        <w:t>Инструщия по применению препарата разработана сотрудниками УО «Витебская ордена</w:t>
      </w:r>
    </w:p>
    <w:p w14:paraId="7E72E0A7" w14:textId="77777777" w:rsidR="002B763C" w:rsidRDefault="009516AF">
      <w:pPr>
        <w:tabs>
          <w:tab w:val="right" w:pos="10058"/>
        </w:tabs>
        <w:spacing w:after="39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73BF8B" wp14:editId="79881F0B">
                <wp:simplePos x="0" y="0"/>
                <wp:positionH relativeFrom="column">
                  <wp:posOffset>2985516</wp:posOffset>
                </wp:positionH>
                <wp:positionV relativeFrom="paragraph">
                  <wp:posOffset>-12201</wp:posOffset>
                </wp:positionV>
                <wp:extent cx="2958084" cy="1408176"/>
                <wp:effectExtent l="0" t="0" r="0" b="0"/>
                <wp:wrapSquare wrapText="bothSides"/>
                <wp:docPr id="15606" name="Group 15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8084" cy="1408176"/>
                          <a:chOff x="0" y="0"/>
                          <a:chExt cx="2958084" cy="1408176"/>
                        </a:xfrm>
                      </wpg:grpSpPr>
                      <pic:pic xmlns:pic="http://schemas.openxmlformats.org/drawingml/2006/picture">
                        <pic:nvPicPr>
                          <pic:cNvPr id="16211" name="Picture 162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6324" y="0"/>
                            <a:ext cx="2651760" cy="140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55" name="Rectangle 6855"/>
                        <wps:cNvSpPr/>
                        <wps:spPr>
                          <a:xfrm>
                            <a:off x="0" y="0"/>
                            <a:ext cx="2362708" cy="20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2F755" w14:textId="77777777" w:rsidR="002B763C" w:rsidRDefault="009516A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"/>
                                </w:rPr>
                                <w:t>ветеринарной-медицины»</w:t>
                              </w:r>
                              <w:r>
                                <w:rPr>
                                  <w:spacing w:val="59"/>
                                  <w:w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06" style="width:232.92pt;height:110.88pt;position:absolute;mso-position-horizontal-relative:text;mso-position-horizontal:absolute;margin-left:235.08pt;mso-position-vertical-relative:text;margin-top:-0.960815pt;" coordsize="29580,14081">
                <v:shape id="Picture 16211" style="position:absolute;width:26517;height:14081;left:3063;top:0;" filled="f">
                  <v:imagedata r:id="rId16"/>
                </v:shape>
                <v:rect id="Rectangle 6855" style="position:absolute;width:23627;height:2067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"/>
                          </w:rPr>
                          <w:t xml:space="preserve">ветеринарной-медицины»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9"/>
                            <w:w w:val="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«Знак Почета» государственная академия </w:t>
      </w:r>
      <w:r>
        <w:tab/>
        <w:t>Романова</w:t>
      </w:r>
    </w:p>
    <w:p w14:paraId="18215770" w14:textId="77777777" w:rsidR="002B763C" w:rsidRDefault="009516AF">
      <w:pPr>
        <w:ind w:left="223" w:right="50" w:firstLine="0"/>
      </w:pPr>
      <w:r>
        <w:t>Е.В., Мацинович М.С.), ООО «Рубикон» (Кукор .е.).'“нг,зо;::-'</w:t>
      </w:r>
    </w:p>
    <w:p w14:paraId="52242566" w14:textId="77777777" w:rsidR="002B763C" w:rsidRDefault="002B763C">
      <w:pPr>
        <w:sectPr w:rsidR="002B763C">
          <w:pgSz w:w="11902" w:h="16834"/>
          <w:pgMar w:top="486" w:right="662" w:bottom="1073" w:left="1181" w:header="720" w:footer="720" w:gutter="0"/>
          <w:cols w:space="720"/>
        </w:sectPr>
      </w:pPr>
    </w:p>
    <w:p w14:paraId="4FBB9F5B" w14:textId="77777777" w:rsidR="002B763C" w:rsidRDefault="009516AF">
      <w:pPr>
        <w:spacing w:after="0" w:line="259" w:lineRule="auto"/>
        <w:ind w:left="-1440" w:right="10462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761BEA3F" wp14:editId="27F659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6212" name="Picture 16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" name="Picture 162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763C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3C"/>
    <w:rsid w:val="002B763C"/>
    <w:rsid w:val="0095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DAAA"/>
  <w15:docId w15:val="{72673747-11B5-4047-8BAC-6D5BF871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1958" w:firstLine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171" w:right="234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7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8858</Characters>
  <Application>Microsoft Office Word</Application>
  <DocSecurity>0</DocSecurity>
  <Lines>73</Lines>
  <Paragraphs>20</Paragraphs>
  <ScaleCrop>false</ScaleCrop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mk_tatiana@mail.ru</dc:creator>
  <cp:keywords/>
  <cp:lastModifiedBy>mk_tatiana@mail.ru</cp:lastModifiedBy>
  <cp:revision>2</cp:revision>
  <dcterms:created xsi:type="dcterms:W3CDTF">2025-06-25T10:19:00Z</dcterms:created>
  <dcterms:modified xsi:type="dcterms:W3CDTF">2025-06-25T10:19:00Z</dcterms:modified>
</cp:coreProperties>
</file>