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6237" w:right="-2" w:hanging="567.00000000000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СОГЛАСОВАНО</w:t>
      </w:r>
    </w:p>
    <w:p w:rsidR="00000000" w:rsidDel="00000000" w:rsidP="00000000" w:rsidRDefault="00000000" w:rsidRPr="00000000" w14:paraId="00000002">
      <w:pPr>
        <w:spacing w:after="0" w:line="240" w:lineRule="auto"/>
        <w:ind w:left="6237" w:right="-2" w:hanging="567.00000000000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Заместитель Руководителя</w:t>
      </w:r>
    </w:p>
    <w:p w:rsidR="00000000" w:rsidDel="00000000" w:rsidP="00000000" w:rsidRDefault="00000000" w:rsidRPr="00000000" w14:paraId="00000003">
      <w:pPr>
        <w:spacing w:after="0" w:line="240" w:lineRule="auto"/>
        <w:ind w:left="6237" w:hanging="567.00000000000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Россельхознадзора</w:t>
      </w:r>
    </w:p>
    <w:p w:rsidR="00000000" w:rsidDel="00000000" w:rsidP="00000000" w:rsidRDefault="00000000" w:rsidRPr="00000000" w14:paraId="00000004">
      <w:pPr>
        <w:spacing w:after="0" w:line="240" w:lineRule="auto"/>
        <w:ind w:left="6237" w:hanging="567.00000000000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</w:t>
      </w:r>
    </w:p>
    <w:p w:rsidR="00000000" w:rsidDel="00000000" w:rsidP="00000000" w:rsidRDefault="00000000" w:rsidRPr="00000000" w14:paraId="00000005">
      <w:pPr>
        <w:spacing w:after="120" w:line="240" w:lineRule="auto"/>
        <w:ind w:left="6237" w:hanging="567.000000000000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ИНСТРУКЦИЯ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ветеринарному применению лекарственного препарата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Визотиум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организация-разработчик: ООО «НИТА-ФАРМ», 410010, г. Саратов,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ул. им. Осипова В.И., д. 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42"/>
        </w:tabs>
        <w:spacing w:after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Номер регистрационного удостоверения: ___________________________</w:t>
      </w:r>
    </w:p>
    <w:p w:rsidR="00000000" w:rsidDel="00000000" w:rsidP="00000000" w:rsidRDefault="00000000" w:rsidRPr="00000000" w14:paraId="00000010">
      <w:pPr>
        <w:tabs>
          <w:tab w:val="left" w:leader="none" w:pos="142"/>
        </w:tabs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42"/>
        </w:tabs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I. Общие сведения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4"/>
        </w:tabs>
        <w:spacing w:after="0" w:before="0" w:line="240" w:lineRule="auto"/>
        <w:ind w:left="0" w:right="-2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Наименование лекарственного препарата для ветеринарного применения: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4"/>
        </w:tabs>
        <w:spacing w:after="0" w:before="0" w:line="240" w:lineRule="auto"/>
        <w:ind w:left="782" w:right="0" w:hanging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торговое наименование: Визотиум (Vizotium);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4"/>
        </w:tabs>
        <w:spacing w:after="0" w:before="0" w:line="240" w:lineRule="auto"/>
        <w:ind w:left="42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международное непатентованное наименование - левофлоксацин.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57"/>
        </w:tabs>
        <w:spacing w:after="0" w:before="0" w:line="240" w:lineRule="auto"/>
        <w:ind w:left="0" w:right="-2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Лекарственная форма: капли глазные.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57"/>
        </w:tabs>
        <w:spacing w:after="0" w:before="0" w:line="240" w:lineRule="auto"/>
        <w:ind w:left="0" w:right="-2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Визотиум в качестве действующего вещества в 1 мл содержит левофлоксацин (в форме гемигидрата) 5 мг, а также вспомогательные вещества: метилпарабен, пропилпарабен, гиалуронат натрия, хлорид натрия, соляную кислоту и воду для инъекций.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57"/>
        </w:tabs>
        <w:spacing w:after="0" w:before="0" w:line="240" w:lineRule="auto"/>
        <w:ind w:left="0" w:right="-2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внешнему виду лекарственный препарат представляет собой прозрачную жидкость от слабо-желтого до зеленовато-желтого цвета.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57"/>
        </w:tabs>
        <w:spacing w:after="0" w:before="0" w:line="240" w:lineRule="auto"/>
        <w:ind w:left="0" w:right="-2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Срок годности лекарственного препарата при соблюдении условий хранения в закрытой упаковке производителя – 2 года с даты производства; после первого вскрытия флакона 28 суток.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57"/>
        </w:tabs>
        <w:spacing w:after="0" w:before="0" w:line="240" w:lineRule="auto"/>
        <w:ind w:left="0" w:right="-2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Запрещается применение лекарственного препарата Визотиум по истечении срока годности.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d3ykrx9i31cu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изотиум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выпускают расфасованными по 5 мл и 10 мл в стеклянные флаконы, укупоренные навинчиваемыми полимерными крышками с контролем первого вскрытия, снабженными стеклянной пипеткой или в полимерные флаконы, укупоренные навинчиваемыми полимерными крышками с контролем первого вскрытия, снабженными полимерными пробками-капельницами.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Флаконы с препаратом упаковывают в индивидуальные пачки из картона.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39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Каждую потребительскую упаковку снабжают инструкцией по применению препарата.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tabs>
          <w:tab w:val="left" w:leader="none" w:pos="284"/>
          <w:tab w:val="left" w:leader="none" w:pos="567"/>
        </w:tabs>
        <w:spacing w:after="0" w:line="240" w:lineRule="auto"/>
        <w:ind w:left="0" w:firstLine="4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Хранят лекарственный препарат в закрытой упаковке производителя,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отдельно от продуктов питания и кормов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3"/>
          <w:szCs w:val="23"/>
          <w:highlight w:val="whit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защищенном от прямых солнечных лучей месте при температуре от 2°С до 25°С.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tabs>
          <w:tab w:val="left" w:leader="none" w:pos="284"/>
          <w:tab w:val="left" w:leader="none" w:pos="567"/>
        </w:tabs>
        <w:spacing w:after="0" w:line="240" w:lineRule="auto"/>
        <w:ind w:left="0" w:firstLine="39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Лекарственный препарат следует хранить в местах, недоступных для детей.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284"/>
          <w:tab w:val="left" w:leader="none" w:pos="457"/>
          <w:tab w:val="left" w:leader="none" w:pos="567"/>
        </w:tabs>
        <w:spacing w:after="0" w:line="240" w:lineRule="auto"/>
        <w:ind w:left="0" w:right="-2" w:firstLine="4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Неиспользованный лекарственный препарат утилизируют в соответствии с требованиями действующего законодательства.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39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Условия отпуска: отпускается по рецепту на лекарственный препарат или требованию ветеринарной организации.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II. Фармакологические свойства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851"/>
        </w:tabs>
        <w:spacing w:after="0" w:before="0" w:line="240" w:lineRule="auto"/>
        <w:ind w:left="0" w:right="-2" w:firstLine="3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Визотиум относится к фармакотерапевтической группе -офтальмологические средства.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b0f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851"/>
        </w:tabs>
        <w:spacing w:after="0" w:before="0" w:line="240" w:lineRule="auto"/>
        <w:ind w:left="0" w:right="-2" w:firstLine="3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Левофлоксацин, входящий в состав препарата, является антибактериальным средством из группы фторхинолонов III поколения и оказывает бактерицидное действие. Обладая широким спектром антимикробной активности, левофлоксацин эффективен в отношении большинства клинически значимых возбудителей бактериальных инфекций глаз у собак и кошек, включая: Грамположительные аэробы: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Staphylococcus spp.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(включая метициллин-чувствительные штаммы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S. aureus, S. pseudintermedius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Streptococcus spp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Грамотрицательные аэробы: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Pseudomonas aeruginosa, Escherichia coli, Klebsiella spp., Proteus spp.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(включая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P. mirabilis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P. vulgaris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Pasteurella spp., Acinetobacter spp., Enterobacter spp., Serratia spp.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2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Внутриклеточные и атипичные микроорганизмы: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Chlamydia spp.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(включая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Chlamydia felis), Mycoplasma spp.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(включая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Mycoplasma felis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2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Механизм действия левофлоксацина связан с ингибированием двух ключевых ферментов бактериальной клетки — ДНК-гиразы (топоизомеразы II) и топоизомеразы IV. Блокирование этих ферментов нарушает процессы репликации, суперспирализации и разделения дочерних молекул ДНК, что приводит к необратимым повреждениям и гибели бактериальной клетки.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2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местном применении в форме глазных капель левофлоксацин хорошо проникает в ткани глаза, создавая терапевтические концентрации в роговице, конъюнктиве и водянистой влаге передней камеры глаза через 30–60 минут после инстилляции. Препарат выводится преимущественно со слезной жидкостью.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6"/>
        </w:tabs>
        <w:spacing w:after="120" w:before="0" w:line="240" w:lineRule="auto"/>
        <w:ind w:left="0" w:right="-2" w:firstLine="4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Визотиум по степени воздействия на организм относится к малоопасным веществам (4 класс опасности согласно ГОСТ 12.1.007-76).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Порядок применения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426"/>
          <w:tab w:val="left" w:leader="none" w:pos="709"/>
          <w:tab w:val="left" w:leader="none" w:pos="851"/>
        </w:tabs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Визотиум применяют собакам и кошкам для лечения острых и хронических бактериальных инфекций глаз и его придатков, вызванных чувствительными к левофлоксацину микроорганизмами, в том числе при бактериальном блефарите, конъюнктивите, блефароконъюнктивите, бактериальном кератите и кератоконъюнктивите, дакриоцистите, мейбомиите, септической (инфицированной) язве роговицы, бактериальном иридоциклите, хламидийном конъюнктивите (в составе комплексной терапии), а также для лечения вторичных бактериальных инфекций, развивающихся на фоне вирусных поражений глаз (например, при герпесвирусе кошек). Препарат также применяют для превентивного лечения состояний, связанных с неизбежной бактериальной контаминацией: при попадании инородного тела, проникающих ранениях глаза, травмах с нарушением целостности тканей и в периоперационный период при хирургических вмешательствах на глазном яблоке и веках.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426"/>
          <w:tab w:val="left" w:leader="none" w:pos="709"/>
          <w:tab w:val="left" w:leader="none" w:pos="851"/>
        </w:tabs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Противопоказанием к применению препарата Визотиум является повышенная индивидуальная чувствительность животного к компонентам лекарственного препарата.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426"/>
          <w:tab w:val="left" w:leader="none" w:pos="709"/>
          <w:tab w:val="left" w:leader="none" w:pos="851"/>
        </w:tabs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работе с препаратом Визотиум следует соблюдать общие правила личной гигиены и техники безопасности, предусмотренные при работе с лекарственными препаратами.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426"/>
          <w:tab w:val="left" w:leader="none" w:pos="709"/>
          <w:tab w:val="left" w:leader="none" w:pos="851"/>
        </w:tabs>
        <w:spacing w:after="0" w:before="0" w:line="240" w:lineRule="auto"/>
        <w:ind w:left="0" w:right="0" w:firstLine="4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Людям с гиперчувствительностью к компонентам лекарственного препарата следует избегать прямого контакта с препаратом Визотиум. По окончании работы с препаратом руки следует вымыть теплой водой с мылом. При случайном контакте лекарственного препарата с кожей или слизистыми оболочками глаз, их необходимо промыть большим количеством воды. В случае появления аллергических реакций или при случайном попадании лекарственного препарата в организм человека следует немедленно обратиться в медицинское учреждение (при себе иметь инструкцию по применению препарата или этикетку).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1134"/>
          <w:tab w:val="left" w:leader="none" w:pos="1276"/>
        </w:tabs>
        <w:spacing w:after="0" w:before="0" w:line="240" w:lineRule="auto"/>
        <w:ind w:left="0" w:right="-2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Пустую тару из-под лекарственного препарата запрещается использовать для бытовых целей, она подлежит утилизации с бытовыми отходами.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426"/>
          <w:tab w:val="left" w:leader="none" w:pos="709"/>
          <w:tab w:val="left" w:leader="none" w:pos="851"/>
        </w:tabs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Возможность применения лекарственного препарата животным в период беременности и лактации, а также потомству определяет лечащий врач на основании оценки соответствия пользы к возможному риску его применения.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426"/>
          <w:tab w:val="left" w:leader="none" w:pos="709"/>
          <w:tab w:val="left" w:leader="none" w:pos="851"/>
        </w:tabs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Визотиум применяют кошкам и собакам путем закапывания 1-2 капли в конъюнктивальный мешок пораженного глаза. При наличии обильного гнойного или слизисто-гнойного отделяемого предварительно проводят туалет глаза: закапывают 3-4 капли препарата, удаляют экссудат стерильным марлевым тампоном, после чего проводят инстилляцию терапевтической дозы препарата.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Режим дозирования:</w:t>
      </w:r>
    </w:p>
    <w:tbl>
      <w:tblPr>
        <w:tblStyle w:val="Table1"/>
        <w:tblW w:w="9803.999999999998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1985"/>
        <w:gridCol w:w="2268"/>
        <w:gridCol w:w="1723"/>
        <w:tblGridChange w:id="0">
          <w:tblGrid>
            <w:gridCol w:w="3828"/>
            <w:gridCol w:w="1985"/>
            <w:gridCol w:w="2268"/>
            <w:gridCol w:w="1723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Заболевание / Состояние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Кратность применения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Общая продолжительность  терапии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острая фаза  (1-3 дня)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дальнейшее лечение (до выздоровления)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Бактериальный конъюнктивит, блефароконъюнктивит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4-6 раз в день (каждые 6-4 часа)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 раза в день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7-14 дней</w:t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Бактериальный блефарит, мейбомиит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 раза в день (каждые 8-6 часов)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14-21 день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Бактериальный кератит, кератоконъюнктивит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4-6 раз в день (каждые 6-4 часа)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 раза в день (каждые 8-6 часов)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 14 до 28 дней*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Септическая (инфицированная) язва роговицы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Каждый 30-60 мин в первые 2 часа, далее каждые 2-4 часа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4-6 раз в день (каждые 6-4 часа)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Бактериальный иридоциклит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4-6 раз в день (каждые 6-4 часов)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 раза в день (каждые 8-6 часов)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7-14 дней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Хламидийный конъюнктивит (в составе комплексной терапии)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4-6 раз в день (каждые 6-4 часа)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 раза в день (каждые 8-6 часов)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10- 14 дней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Дакриоцистит (острый)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Вторичная бактериальная инфекция при вирусных поражениях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 раз в день (каждые 8-6 часов)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5-7 дней</w:t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Профилактика при проникающих ранениях, травмах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4-6 раз в день (каждые 6-4 часа)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 раза в день (каждые 8-6 часов)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7-10 дней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Периоперационная профилактика (до/после операции)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 раза в день (каждые 8-6 часов) за 1-3 дня до операции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 раза в день (каждые 8-6 часов) в течение 7-14 дней после операции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8-17 дней</w:t>
            </w:r>
          </w:p>
        </w:tc>
      </w:tr>
    </w:tbl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Особые указания: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кератитах и язвах роговицы продолжительность лечения определяется до полной эпителизации под контролем ветеринарного врача.</w:t>
        <w:br w:type="textWrapping"/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Доза препарата, кратность применения и продолжительность курса лечения устанавливается ветеринарным врачом индивидуально в зависимости от показаний, тяжести заболевания и состояния животного. При хронических и осложненных процессах может быть рекомендована комплексная терапия.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использования флакон следует плотно закрывать. Во избежание контаминации раствора не допускать контакта кончика пипетки с поверхностью глаза, веками или иными поверхностями.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426"/>
          <w:tab w:val="left" w:leader="none" w:pos="709"/>
          <w:tab w:val="left" w:leader="none" w:pos="851"/>
        </w:tabs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применении препарата в соответствии с настоящей инструкцией побочных явлений и осложнений не наблюдается. В редких случаях препарат может вызывать легкую болезненность и гиперемию конъюнктивы, зуд, слезотечение, которые, как правило, носят временный характер и самостоятельно купируются. В случае появления у животных аллергических реакций (продолжается или нарастает конъюнктивальная гиперемия) использование препарата прекращают.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426"/>
          <w:tab w:val="left" w:leader="none" w:pos="851"/>
        </w:tabs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Симптомов передозировки препаратом не установлено.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426"/>
          <w:tab w:val="left" w:leader="none" w:pos="851"/>
        </w:tabs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комбинированной терапии с другими офтальмологическими препаратами интервал между их введением должен составлять не менее 10 минут, глазные мази и гели применяются последними. При одновременном применении с системными фторхинолонами учитывают возможность потенцирования системных эффектов. Препарат совместим с топическими глюкокортикостероидами, нестероидными противовоспалительными средствами и кератопротекторами.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426"/>
          <w:tab w:val="left" w:leader="none" w:pos="851"/>
        </w:tabs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Особенностей действия лекарственного препарата в начале приема и его отмене не выявлено.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426"/>
          <w:tab w:val="left" w:leader="none" w:pos="851"/>
        </w:tabs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Следует избегать пропуска очередной дозы препарата, так как это может привести к снижению терапевтической эффективности. В случае пропуска одной дозы применение препарата возобновляют в той же дозе по той же схеме.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284"/>
          <w:tab w:val="left" w:leader="none" w:pos="426"/>
          <w:tab w:val="left" w:leader="none" w:pos="851"/>
        </w:tabs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Лекарственный препарат не предназначен для применения продуктивным животным.</w:t>
      </w:r>
    </w:p>
    <w:p w:rsidR="00000000" w:rsidDel="00000000" w:rsidP="00000000" w:rsidRDefault="00000000" w:rsidRPr="00000000" w14:paraId="00000071">
      <w:pPr>
        <w:tabs>
          <w:tab w:val="left" w:leader="none" w:pos="284"/>
          <w:tab w:val="left" w:leader="none" w:pos="426"/>
          <w:tab w:val="left" w:leader="none" w:pos="8789"/>
        </w:tabs>
        <w:spacing w:after="0" w:line="240" w:lineRule="auto"/>
        <w:ind w:right="-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284"/>
          <w:tab w:val="left" w:leader="none" w:pos="426"/>
          <w:tab w:val="left" w:leader="none" w:pos="8789"/>
        </w:tabs>
        <w:spacing w:after="0" w:line="240" w:lineRule="auto"/>
        <w:ind w:left="-142" w:right="-2" w:firstLine="85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5.0" w:type="dxa"/>
        <w:jc w:val="left"/>
        <w:tblLayout w:type="fixed"/>
        <w:tblLook w:val="0400"/>
      </w:tblPr>
      <w:tblGrid>
        <w:gridCol w:w="4853"/>
        <w:gridCol w:w="4502"/>
        <w:tblGridChange w:id="0">
          <w:tblGrid>
            <w:gridCol w:w="4853"/>
            <w:gridCol w:w="45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tabs>
                <w:tab w:val="left" w:leader="none" w:pos="3617"/>
              </w:tabs>
              <w:spacing w:after="0" w:line="240" w:lineRule="auto"/>
              <w:ind w:right="-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Наименование и адрес производственной площадки производителя лекарственного препарата для ветеринарного применения</w:t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3617"/>
              </w:tabs>
              <w:spacing w:after="0" w:line="240" w:lineRule="auto"/>
              <w:ind w:right="-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3617"/>
              </w:tabs>
              <w:spacing w:after="0" w:line="240" w:lineRule="auto"/>
              <w:ind w:right="-2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ind w:right="-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ООО «НИТА-ФАРМ»; 410010,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ind w:right="-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Саратов, ул.им. Осипова В.И., д. 1.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right="-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4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tabs>
                <w:tab w:val="left" w:leader="none" w:pos="3617"/>
              </w:tabs>
              <w:spacing w:after="0" w:line="240" w:lineRule="auto"/>
              <w:ind w:right="-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Наименование и адрес организации, уполномоченной владельцем или держателем регистрационного удостоверения лекарственного препарата на принятие претензий от потребителя</w:t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3617"/>
              </w:tabs>
              <w:spacing w:after="0" w:line="240" w:lineRule="auto"/>
              <w:ind w:right="-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ind w:right="-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ООО «НИТА-ФАРМ»; 410010,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ind w:right="-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Саратов, ул. им. Осипова В.И., д. 1.</w:t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Начальник ОРиС                                                                               Васильченко Д.И.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84"/>
          <w:tab w:val="left" w:leader="none" w:pos="8080"/>
        </w:tabs>
        <w:spacing w:after="0" w:lineRule="auto"/>
        <w:ind w:hanging="14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3"/>
      <w:numFmt w:val="upperRoman"/>
      <w:lvlText w:val="%1."/>
      <w:lvlJc w:val="left"/>
      <w:pPr>
        <w:ind w:left="2340" w:hanging="720"/>
      </w:pPr>
      <w:rPr/>
    </w:lvl>
    <w:lvl w:ilvl="1">
      <w:start w:val="1"/>
      <w:numFmt w:val="lowerLetter"/>
      <w:lvlText w:val="%2."/>
      <w:lvlJc w:val="left"/>
      <w:pPr>
        <w:ind w:left="2700" w:hanging="360"/>
      </w:pPr>
      <w:rPr/>
    </w:lvl>
    <w:lvl w:ilvl="2">
      <w:start w:val="1"/>
      <w:numFmt w:val="lowerRoman"/>
      <w:lvlText w:val="%3."/>
      <w:lvlJc w:val="right"/>
      <w:pPr>
        <w:ind w:left="3420" w:hanging="180"/>
      </w:pPr>
      <w:rPr/>
    </w:lvl>
    <w:lvl w:ilvl="3">
      <w:start w:val="1"/>
      <w:numFmt w:val="decimal"/>
      <w:lvlText w:val="%4."/>
      <w:lvlJc w:val="left"/>
      <w:pPr>
        <w:ind w:left="4140" w:hanging="360"/>
      </w:pPr>
      <w:rPr/>
    </w:lvl>
    <w:lvl w:ilvl="4">
      <w:start w:val="1"/>
      <w:numFmt w:val="lowerLetter"/>
      <w:lvlText w:val="%5."/>
      <w:lvlJc w:val="left"/>
      <w:pPr>
        <w:ind w:left="4860" w:hanging="360"/>
      </w:pPr>
      <w:rPr/>
    </w:lvl>
    <w:lvl w:ilvl="5">
      <w:start w:val="1"/>
      <w:numFmt w:val="lowerRoman"/>
      <w:lvlText w:val="%6."/>
      <w:lvlJc w:val="right"/>
      <w:pPr>
        <w:ind w:left="5580" w:hanging="180"/>
      </w:pPr>
      <w:rPr/>
    </w:lvl>
    <w:lvl w:ilvl="6">
      <w:start w:val="1"/>
      <w:numFmt w:val="decimal"/>
      <w:lvlText w:val="%7."/>
      <w:lvlJc w:val="left"/>
      <w:pPr>
        <w:ind w:left="6300" w:hanging="360"/>
      </w:pPr>
      <w:rPr/>
    </w:lvl>
    <w:lvl w:ilvl="7">
      <w:start w:val="1"/>
      <w:numFmt w:val="lowerLetter"/>
      <w:lvlText w:val="%8."/>
      <w:lvlJc w:val="left"/>
      <w:pPr>
        <w:ind w:left="7020" w:hanging="360"/>
      </w:pPr>
      <w:rPr/>
    </w:lvl>
    <w:lvl w:ilvl="8">
      <w:start w:val="1"/>
      <w:numFmt w:val="lowerRoman"/>
      <w:lvlText w:val="%9."/>
      <w:lvlJc w:val="right"/>
      <w:pPr>
        <w:ind w:left="7740" w:hanging="180"/>
      </w:pPr>
      <w:rPr/>
    </w:lvl>
  </w:abstractNum>
  <w:abstractNum w:abstractNumId="3">
    <w:lvl w:ilvl="0">
      <w:start w:val="4"/>
      <w:numFmt w:val="decimal"/>
      <w:lvlText w:val="%1."/>
      <w:lvlJc w:val="left"/>
      <w:pPr>
        <w:ind w:left="0" w:firstLine="397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  <w:rPr/>
    </w:lvl>
    <w:lvl w:ilvl="2">
      <w:start w:val="1"/>
      <w:numFmt w:val="decimal"/>
      <w:lvlText w:val="%3"/>
      <w:lvlJc w:val="left"/>
      <w:pPr>
        <w:ind w:left="0" w:firstLine="0"/>
      </w:pPr>
      <w:rPr/>
    </w:lvl>
    <w:lvl w:ilvl="3">
      <w:start w:val="1"/>
      <w:numFmt w:val="decimal"/>
      <w:lvlText w:val="%4"/>
      <w:lvlJc w:val="left"/>
      <w:pPr>
        <w:ind w:left="0" w:firstLine="0"/>
      </w:pPr>
      <w:rPr/>
    </w:lvl>
    <w:lvl w:ilvl="4">
      <w:start w:val="1"/>
      <w:numFmt w:val="decimal"/>
      <w:lvlText w:val="%5"/>
      <w:lvlJc w:val="left"/>
      <w:pPr>
        <w:ind w:left="0" w:firstLine="0"/>
      </w:pPr>
      <w:rPr/>
    </w:lvl>
    <w:lvl w:ilvl="5">
      <w:start w:val="1"/>
      <w:numFmt w:val="decimal"/>
      <w:lvlText w:val="%6"/>
      <w:lvlJc w:val="left"/>
      <w:pPr>
        <w:ind w:left="0" w:firstLine="0"/>
      </w:pPr>
      <w:rPr/>
    </w:lvl>
    <w:lvl w:ilvl="6">
      <w:start w:val="1"/>
      <w:numFmt w:val="decimal"/>
      <w:lvlText w:val="%7"/>
      <w:lvlJc w:val="left"/>
      <w:pPr>
        <w:ind w:left="0" w:firstLine="0"/>
      </w:pPr>
      <w:rPr/>
    </w:lvl>
    <w:lvl w:ilvl="7">
      <w:start w:val="1"/>
      <w:numFmt w:val="decimal"/>
      <w:lvlText w:val="%8"/>
      <w:lvlJc w:val="left"/>
      <w:pPr>
        <w:ind w:left="0" w:firstLine="0"/>
      </w:pPr>
      <w:rPr/>
    </w:lvl>
    <w:lvl w:ilvl="8">
      <w:start w:val="1"/>
      <w:numFmt w:val="decimal"/>
      <w:lvlText w:val="%9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1146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bCs w:val="1"/>
    </w:rPr>
  </w:style>
  <w:style w:type="paragraph" w:styleId="Title">
    <w:name w:val="Title"/>
    <w:basedOn w:val="Normal"/>
    <w:next w:val="Normal"/>
    <w:pPr>
      <w:spacing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before="200" w:lineRule="auto"/>
    </w:pPr>
    <w:rPr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PCzYPcFuIeliCNOxnrrng9tHjA==">CgMxLjAyDmguZDN5a3J4OWkzMWN1OAByITF6RTJxSi1YRzVJNXpQOXI3REFBbXpuTUQwM1JyNm1XYQ==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